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FD130" w14:textId="50750BD6" w:rsidR="00BA4025" w:rsidRDefault="004E7961">
      <w:pPr>
        <w:widowControl w:val="0"/>
        <w:ind w:firstLineChars="0" w:firstLine="0"/>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关于《玉溪市城市管理条例（草案）（征求意见稿）》的</w:t>
      </w:r>
      <w:r w:rsidR="004F49EF">
        <w:rPr>
          <w:rFonts w:ascii="方正小标宋_GBK" w:eastAsia="方正小标宋_GBK" w:hAnsi="Times New Roman" w:cs="Times New Roman" w:hint="eastAsia"/>
          <w:sz w:val="44"/>
          <w:szCs w:val="44"/>
        </w:rPr>
        <w:t>编制</w:t>
      </w:r>
      <w:r>
        <w:rPr>
          <w:rFonts w:ascii="方正小标宋_GBK" w:eastAsia="方正小标宋_GBK" w:hAnsi="Times New Roman" w:cs="Times New Roman" w:hint="eastAsia"/>
          <w:sz w:val="44"/>
          <w:szCs w:val="44"/>
        </w:rPr>
        <w:t>说明</w:t>
      </w:r>
    </w:p>
    <w:p w14:paraId="1E48D330" w14:textId="77777777" w:rsidR="00BA4025" w:rsidRDefault="00BA4025">
      <w:pPr>
        <w:widowControl w:val="0"/>
        <w:ind w:firstLine="640"/>
        <w:rPr>
          <w:rFonts w:ascii="Times New Roman" w:eastAsia="方正仿宋_GBK" w:hAnsi="Times New Roman" w:cs="Times New Roman"/>
          <w:sz w:val="32"/>
          <w:szCs w:val="32"/>
        </w:rPr>
      </w:pPr>
    </w:p>
    <w:p w14:paraId="6ADAAD7B" w14:textId="227AE982" w:rsidR="00BA4025" w:rsidRDefault="004E7961">
      <w:pPr>
        <w:widowControl w:val="0"/>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现就《玉溪市城市管理条例（草案）（征求意见稿）》（以下简称《条例</w:t>
      </w:r>
      <w:r w:rsidR="00E21DA7">
        <w:rPr>
          <w:rFonts w:ascii="Times New Roman" w:eastAsia="方正仿宋_GBK" w:hAnsi="Times New Roman" w:cs="Times New Roman" w:hint="eastAsia"/>
          <w:sz w:val="32"/>
          <w:szCs w:val="32"/>
        </w:rPr>
        <w:t>（草案）</w:t>
      </w:r>
      <w:r>
        <w:rPr>
          <w:rFonts w:ascii="Times New Roman" w:eastAsia="方正仿宋_GBK" w:hAnsi="Times New Roman" w:cs="Times New Roman" w:hint="eastAsia"/>
          <w:sz w:val="32"/>
          <w:szCs w:val="32"/>
        </w:rPr>
        <w:t>》）作如下</w:t>
      </w:r>
      <w:r w:rsidR="004F49EF">
        <w:rPr>
          <w:rFonts w:ascii="Times New Roman" w:eastAsia="方正仿宋_GBK" w:hAnsi="Times New Roman" w:cs="Times New Roman" w:hint="eastAsia"/>
          <w:sz w:val="32"/>
          <w:szCs w:val="32"/>
        </w:rPr>
        <w:t>编制</w:t>
      </w:r>
      <w:r>
        <w:rPr>
          <w:rFonts w:ascii="Times New Roman" w:eastAsia="方正仿宋_GBK" w:hAnsi="Times New Roman" w:cs="Times New Roman" w:hint="eastAsia"/>
          <w:sz w:val="32"/>
          <w:szCs w:val="32"/>
        </w:rPr>
        <w:t>说明：</w:t>
      </w:r>
    </w:p>
    <w:p w14:paraId="623E27BD" w14:textId="79C180D5" w:rsidR="00BA4025" w:rsidRDefault="004E7961">
      <w:pPr>
        <w:widowControl w:val="0"/>
        <w:ind w:firstLine="640"/>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一、</w:t>
      </w:r>
      <w:r w:rsidR="004F49EF">
        <w:rPr>
          <w:rFonts w:ascii="方正黑体_GBK" w:eastAsia="方正黑体_GBK" w:hAnsi="Times New Roman" w:cs="Times New Roman" w:hint="eastAsia"/>
          <w:sz w:val="32"/>
          <w:szCs w:val="32"/>
        </w:rPr>
        <w:t>立法背景</w:t>
      </w:r>
    </w:p>
    <w:p w14:paraId="70D9F288" w14:textId="77777777" w:rsidR="00E21DA7" w:rsidRDefault="004E7961">
      <w:pPr>
        <w:widowControl w:val="0"/>
        <w:spacing w:line="600" w:lineRule="exact"/>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习近平总书记指出：“人民城市人民建、人民城市为人民”“城市建设必须把让人民宜居安居放在首位，把最好的资源留给人民”。人民城市建设是</w:t>
      </w:r>
      <w:proofErr w:type="gramStart"/>
      <w:r>
        <w:rPr>
          <w:rFonts w:ascii="Times New Roman" w:eastAsia="方正仿宋_GBK" w:hAnsi="Times New Roman" w:cs="Times New Roman" w:hint="eastAsia"/>
          <w:sz w:val="32"/>
          <w:szCs w:val="32"/>
        </w:rPr>
        <w:t>践行</w:t>
      </w:r>
      <w:proofErr w:type="gramEnd"/>
      <w:r>
        <w:rPr>
          <w:rFonts w:ascii="Times New Roman" w:eastAsia="方正仿宋_GBK" w:hAnsi="Times New Roman" w:cs="Times New Roman" w:hint="eastAsia"/>
          <w:sz w:val="32"/>
          <w:szCs w:val="32"/>
        </w:rPr>
        <w:t>人民至上重要理念的具体体现，也是推动高质量发展，打造高品质城市的重要内容。城市管理工作是社会管理的重要部分，其管理水平不仅直接体现城市的文明程度，也折射出广大市民的生活质量，更关系到社会的和谐稳定。</w:t>
      </w:r>
      <w:r w:rsidR="00E21DA7">
        <w:rPr>
          <w:rFonts w:ascii="Times New Roman" w:eastAsia="方正仿宋_GBK" w:hAnsi="Times New Roman" w:cs="Times New Roman"/>
          <w:sz w:val="32"/>
          <w:szCs w:val="32"/>
        </w:rPr>
        <w:t>2025</w:t>
      </w:r>
      <w:r w:rsidR="00E21DA7">
        <w:rPr>
          <w:rFonts w:ascii="Times New Roman" w:eastAsia="方正仿宋_GBK" w:hAnsi="Times New Roman" w:cs="Times New Roman"/>
          <w:sz w:val="32"/>
          <w:szCs w:val="32"/>
        </w:rPr>
        <w:t>年</w:t>
      </w:r>
      <w:r w:rsidR="00E21DA7">
        <w:rPr>
          <w:rFonts w:ascii="Times New Roman" w:eastAsia="方正仿宋_GBK" w:hAnsi="Times New Roman" w:cs="Times New Roman"/>
          <w:sz w:val="32"/>
          <w:szCs w:val="32"/>
        </w:rPr>
        <w:t>7</w:t>
      </w:r>
      <w:r w:rsidR="00E21DA7">
        <w:rPr>
          <w:rFonts w:ascii="Times New Roman" w:eastAsia="方正仿宋_GBK" w:hAnsi="Times New Roman" w:cs="Times New Roman"/>
          <w:sz w:val="32"/>
          <w:szCs w:val="32"/>
        </w:rPr>
        <w:t>月</w:t>
      </w:r>
      <w:r w:rsidR="00E21DA7">
        <w:rPr>
          <w:rFonts w:ascii="Times New Roman" w:eastAsia="方正仿宋_GBK" w:hAnsi="Times New Roman" w:cs="Times New Roman" w:hint="eastAsia"/>
          <w:sz w:val="32"/>
          <w:szCs w:val="32"/>
        </w:rPr>
        <w:t>召开的</w:t>
      </w:r>
      <w:r w:rsidR="00E21DA7">
        <w:rPr>
          <w:rFonts w:ascii="Times New Roman" w:eastAsia="方正仿宋_GBK" w:hAnsi="Times New Roman" w:cs="Times New Roman"/>
          <w:sz w:val="32"/>
          <w:szCs w:val="32"/>
        </w:rPr>
        <w:t>中央城市工作</w:t>
      </w:r>
      <w:r w:rsidR="00E21DA7">
        <w:rPr>
          <w:rFonts w:ascii="Times New Roman" w:eastAsia="方正仿宋_GBK" w:hAnsi="Times New Roman" w:cs="Times New Roman" w:hint="eastAsia"/>
          <w:sz w:val="32"/>
          <w:szCs w:val="32"/>
        </w:rPr>
        <w:t>会议，为</w:t>
      </w:r>
      <w:r w:rsidR="00E21DA7">
        <w:rPr>
          <w:rFonts w:ascii="Times New Roman" w:eastAsia="方正仿宋_GBK" w:hAnsi="Times New Roman" w:cs="Times New Roman"/>
          <w:sz w:val="32"/>
          <w:szCs w:val="32"/>
        </w:rPr>
        <w:t>当前和今后一个时期城市工作</w:t>
      </w:r>
      <w:r w:rsidR="00E21DA7">
        <w:rPr>
          <w:rFonts w:ascii="Times New Roman" w:eastAsia="方正仿宋_GBK" w:hAnsi="Times New Roman" w:cs="Times New Roman" w:hint="eastAsia"/>
          <w:sz w:val="32"/>
          <w:szCs w:val="32"/>
        </w:rPr>
        <w:t>为新时期的城市管理工作提出了更高要求。</w:t>
      </w:r>
    </w:p>
    <w:p w14:paraId="3930E1C0" w14:textId="056AE4D8" w:rsidR="00BA4025" w:rsidRDefault="004E7961">
      <w:pPr>
        <w:widowControl w:val="0"/>
        <w:spacing w:line="600" w:lineRule="exact"/>
        <w:ind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随着城市规模持续扩大、人口加速集聚，城市管理面临市政基础设施承载压力增大</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环境卫生精细化管理水平有待提升</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管理制度体系不健全</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部分领域管理依据不足等</w:t>
      </w:r>
      <w:r>
        <w:rPr>
          <w:rFonts w:ascii="Times New Roman" w:eastAsia="方正仿宋_GBK" w:hAnsi="Times New Roman" w:cs="Times New Roman" w:hint="eastAsia"/>
          <w:sz w:val="32"/>
          <w:szCs w:val="32"/>
        </w:rPr>
        <w:t>一系列</w:t>
      </w:r>
      <w:r>
        <w:rPr>
          <w:rFonts w:ascii="Times New Roman" w:eastAsia="方正仿宋_GBK" w:hAnsi="Times New Roman" w:cs="Times New Roman"/>
          <w:sz w:val="32"/>
          <w:szCs w:val="32"/>
        </w:rPr>
        <w:t>问题。</w:t>
      </w:r>
      <w:r>
        <w:rPr>
          <w:rFonts w:ascii="Times New Roman" w:eastAsia="方正仿宋_GBK" w:hAnsi="Times New Roman" w:cs="Times New Roman" w:hint="eastAsia"/>
          <w:sz w:val="32"/>
          <w:szCs w:val="32"/>
        </w:rPr>
        <w:t>因此，制定一部符合我市实际的城市管理地方性法规，是落实中央和省委决策部署，提升城市治理现代化水平的必然要求。</w:t>
      </w:r>
    </w:p>
    <w:p w14:paraId="235167D5" w14:textId="37650B76" w:rsidR="00BA4025" w:rsidRDefault="004E7961">
      <w:pPr>
        <w:widowControl w:val="0"/>
        <w:spacing w:line="600" w:lineRule="exact"/>
        <w:ind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007C56EC">
        <w:rPr>
          <w:rFonts w:ascii="方正楷体_GBK" w:eastAsia="方正楷体_GBK" w:hAnsi="Times New Roman" w:cs="Times New Roman" w:hint="eastAsia"/>
          <w:sz w:val="32"/>
          <w:szCs w:val="32"/>
        </w:rPr>
        <w:t>一</w:t>
      </w:r>
      <w:r>
        <w:rPr>
          <w:rFonts w:ascii="方正楷体_GBK" w:eastAsia="方正楷体_GBK" w:hAnsi="Times New Roman" w:cs="Times New Roman" w:hint="eastAsia"/>
          <w:sz w:val="32"/>
          <w:szCs w:val="32"/>
        </w:rPr>
        <w:t>）</w:t>
      </w:r>
      <w:r w:rsidR="004F49EF">
        <w:rPr>
          <w:rFonts w:ascii="方正楷体_GBK" w:eastAsia="方正楷体_GBK" w:hAnsi="Times New Roman" w:cs="Times New Roman" w:hint="eastAsia"/>
          <w:sz w:val="32"/>
          <w:szCs w:val="32"/>
        </w:rPr>
        <w:t>立法的必要性</w:t>
      </w:r>
    </w:p>
    <w:p w14:paraId="05090B22" w14:textId="100087D9" w:rsidR="00BA4025" w:rsidRDefault="004E7961">
      <w:pPr>
        <w:widowControl w:val="0"/>
        <w:spacing w:line="600" w:lineRule="exact"/>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2026</w:t>
      </w:r>
      <w:r>
        <w:rPr>
          <w:rFonts w:ascii="Times New Roman" w:eastAsia="方正仿宋_GBK" w:hAnsi="Times New Roman" w:cs="Times New Roman" w:hint="eastAsia"/>
          <w:sz w:val="32"/>
          <w:szCs w:val="32"/>
        </w:rPr>
        <w:t>年玉溪市人民政府工作报告提出，“打造中国现代</w:t>
      </w:r>
      <w:r>
        <w:rPr>
          <w:rFonts w:ascii="Times New Roman" w:eastAsia="方正仿宋_GBK" w:hAnsi="Times New Roman" w:cs="Times New Roman" w:hint="eastAsia"/>
          <w:sz w:val="32"/>
          <w:szCs w:val="32"/>
        </w:rPr>
        <w:lastRenderedPageBreak/>
        <w:t>宜居生态城市”是我市“十五五”时期的主要目标任务之一。近年来，我市在城市管理领域进行了一系列有益探索，</w:t>
      </w:r>
      <w:r>
        <w:rPr>
          <w:rFonts w:ascii="Times New Roman" w:eastAsia="方正仿宋_GBK" w:hAnsi="Times New Roman" w:cs="Times New Roman" w:hint="eastAsia"/>
          <w:sz w:val="32"/>
          <w:szCs w:val="32"/>
        </w:rPr>
        <w:t>积累了一些行之有效的经验和做法</w:t>
      </w:r>
      <w:r w:rsidR="004F49EF">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将这些成功的实践成果上升为具有约束力的法规规范，对于保障改革的连续性、稳定性，推动城市管理工作在法治化轨道上行稳致</w:t>
      </w:r>
      <w:proofErr w:type="gramStart"/>
      <w:r>
        <w:rPr>
          <w:rFonts w:ascii="Times New Roman" w:eastAsia="方正仿宋_GBK" w:hAnsi="Times New Roman" w:cs="Times New Roman" w:hint="eastAsia"/>
          <w:sz w:val="32"/>
          <w:szCs w:val="32"/>
        </w:rPr>
        <w:t>远具有</w:t>
      </w:r>
      <w:proofErr w:type="gramEnd"/>
      <w:r>
        <w:rPr>
          <w:rFonts w:ascii="Times New Roman" w:eastAsia="方正仿宋_GBK" w:hAnsi="Times New Roman" w:cs="Times New Roman" w:hint="eastAsia"/>
          <w:sz w:val="32"/>
          <w:szCs w:val="32"/>
        </w:rPr>
        <w:t>重要意义。</w:t>
      </w:r>
      <w:r w:rsidR="00E21DA7">
        <w:rPr>
          <w:rFonts w:ascii="Times New Roman" w:eastAsia="方正仿宋_GBK" w:hAnsi="Times New Roman" w:cs="Times New Roman" w:hint="eastAsia"/>
          <w:sz w:val="32"/>
          <w:szCs w:val="32"/>
        </w:rPr>
        <w:t>同时，人民群众对美好生活的向往，对城市工作提出了许多更新、更高的要求。城市治理得好不好、精细不精细，影响到城市功能提升和城市文明程度，更直接关系到人民群众的获得感、幸福感、安全感。从交通出行到餐饮消费，从垃圾分类到噪声治理，群众的社区生活与城市管理息息相关，城市管理要顺应人民需求的变化。城市管理过程中出现的一些新现象、新情况，使得原有的管理手段已不能适应实际工作的需要。如何将城市管理融于城市规划、建设、城市服务、城市运营，推进城市管理定位的科学化；如何加快严格管理与文明执法的有机融合、推进城市管理执法的规范化；如何将数字技术广泛应用于城市管理服务，推进城市管理和服务体系智慧化建设；如何实现社会力量与城管队伍齐抓共管、推进城市管理事务的社会化，都亟需对城市管理做出立法安排。</w:t>
      </w:r>
      <w:r>
        <w:rPr>
          <w:rFonts w:ascii="Times New Roman" w:eastAsia="方正仿宋_GBK" w:hAnsi="Times New Roman" w:cs="Times New Roman" w:hint="eastAsia"/>
          <w:sz w:val="32"/>
          <w:szCs w:val="32"/>
        </w:rPr>
        <w:t>因此，通过立法来固化经验、破解难题、回应关切，显得尤为必要和紧迫。</w:t>
      </w:r>
    </w:p>
    <w:p w14:paraId="6A4600F6" w14:textId="4AE0D8B7" w:rsidR="00BA4025" w:rsidRDefault="004E7961">
      <w:pPr>
        <w:widowControl w:val="0"/>
        <w:spacing w:line="600" w:lineRule="exact"/>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现行《云南省玉溪城市管理条例》（以下简称现行《条例》）于</w:t>
      </w:r>
      <w:r>
        <w:rPr>
          <w:rFonts w:ascii="Times New Roman" w:eastAsia="方正仿宋_GBK" w:hAnsi="Times New Roman" w:cs="Times New Roman" w:hint="eastAsia"/>
          <w:sz w:val="32"/>
          <w:szCs w:val="32"/>
        </w:rPr>
        <w:t>2011</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9</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30</w:t>
      </w:r>
      <w:r>
        <w:rPr>
          <w:rFonts w:ascii="Times New Roman" w:eastAsia="方正仿宋_GBK" w:hAnsi="Times New Roman" w:cs="Times New Roman" w:hint="eastAsia"/>
          <w:sz w:val="32"/>
          <w:szCs w:val="32"/>
        </w:rPr>
        <w:t>日云南省第十一届人民代表大会常务委员会第</w:t>
      </w:r>
      <w:r>
        <w:rPr>
          <w:rFonts w:ascii="Times New Roman" w:eastAsia="方正仿宋_GBK" w:hAnsi="Times New Roman" w:cs="Times New Roman" w:hint="eastAsia"/>
          <w:sz w:val="32"/>
          <w:szCs w:val="32"/>
        </w:rPr>
        <w:t>26</w:t>
      </w:r>
      <w:r>
        <w:rPr>
          <w:rFonts w:ascii="Times New Roman" w:eastAsia="方正仿宋_GBK" w:hAnsi="Times New Roman" w:cs="Times New Roman" w:hint="eastAsia"/>
          <w:sz w:val="32"/>
          <w:szCs w:val="32"/>
        </w:rPr>
        <w:t>次会议通过。</w:t>
      </w:r>
      <w:r>
        <w:rPr>
          <w:rFonts w:ascii="Times New Roman" w:eastAsia="方正仿宋_GBK" w:hAnsi="Times New Roman" w:cs="Times New Roman" w:hint="eastAsia"/>
          <w:sz w:val="32"/>
          <w:szCs w:val="32"/>
        </w:rPr>
        <w:t>红塔区委、区政府高度重视，精心组</w:t>
      </w:r>
      <w:r>
        <w:rPr>
          <w:rFonts w:ascii="Times New Roman" w:eastAsia="方正仿宋_GBK" w:hAnsi="Times New Roman" w:cs="Times New Roman" w:hint="eastAsia"/>
          <w:sz w:val="32"/>
          <w:szCs w:val="32"/>
        </w:rPr>
        <w:lastRenderedPageBreak/>
        <w:t>织，把现行《条例》的实施作为推动中心城区城市精细化管理的法定依据和主要举措，</w:t>
      </w:r>
      <w:r>
        <w:rPr>
          <w:rFonts w:ascii="Times New Roman" w:eastAsia="方正仿宋_GBK" w:hAnsi="Times New Roman" w:cs="Times New Roman" w:hint="eastAsia"/>
          <w:sz w:val="32"/>
          <w:szCs w:val="32"/>
        </w:rPr>
        <w:t>城市管理水平显著提高，为创建国家文明城市、卫生城市、园林城市、节水型城市提供了法治保障，在规范城市管理方面取得明显成效，形成了一些经验做法。但现行《条例》也存在以下问题：一是第二条明确的适用范围为“玉溪市红塔区的城市建成区和因城市建设发展需要实行规划控制的区域”，其他县（市、区）不能将现行《条例》作为执法依据；二是部分有关城市管理相关事项的上位法，如《中华人民共和国生态环境法典》</w:t>
      </w:r>
      <w:r>
        <w:rPr>
          <w:rFonts w:ascii="Times New Roman" w:eastAsia="方正仿宋_GBK" w:hAnsi="Times New Roman" w:cs="Times New Roman" w:hint="eastAsia"/>
          <w:sz w:val="32"/>
          <w:szCs w:val="32"/>
        </w:rPr>
        <w:t>《云南省城市建设管理条例》已经进行了修改、废止，本市的地方性法规需要及时</w:t>
      </w:r>
      <w:proofErr w:type="gramStart"/>
      <w:r>
        <w:rPr>
          <w:rFonts w:ascii="Times New Roman" w:eastAsia="方正仿宋_GBK" w:hAnsi="Times New Roman" w:cs="Times New Roman" w:hint="eastAsia"/>
          <w:sz w:val="32"/>
          <w:szCs w:val="32"/>
        </w:rPr>
        <w:t>作出</w:t>
      </w:r>
      <w:proofErr w:type="gramEnd"/>
      <w:r>
        <w:rPr>
          <w:rFonts w:ascii="Times New Roman" w:eastAsia="方正仿宋_GBK" w:hAnsi="Times New Roman" w:cs="Times New Roman" w:hint="eastAsia"/>
          <w:sz w:val="32"/>
          <w:szCs w:val="32"/>
        </w:rPr>
        <w:t>相应调整；三是</w:t>
      </w:r>
      <w:r w:rsidR="00E21DA7">
        <w:rPr>
          <w:rFonts w:ascii="Times New Roman" w:eastAsia="方正仿宋_GBK" w:hAnsi="Times New Roman" w:cs="Times New Roman" w:hint="eastAsia"/>
          <w:sz w:val="32"/>
          <w:szCs w:val="32"/>
        </w:rPr>
        <w:t>在</w:t>
      </w:r>
      <w:r>
        <w:rPr>
          <w:rFonts w:ascii="Times New Roman" w:eastAsia="方正仿宋_GBK" w:hAnsi="Times New Roman" w:cs="Times New Roman" w:hint="eastAsia"/>
          <w:sz w:val="32"/>
          <w:szCs w:val="32"/>
        </w:rPr>
        <w:t>经历城市管理执法体制改革、综合行政执法体制改革</w:t>
      </w:r>
      <w:r w:rsidR="00E21DA7">
        <w:rPr>
          <w:rFonts w:ascii="Times New Roman" w:eastAsia="方正仿宋_GBK" w:hAnsi="Times New Roman" w:cs="Times New Roman" w:hint="eastAsia"/>
          <w:sz w:val="32"/>
          <w:szCs w:val="32"/>
        </w:rPr>
        <w:t>后</w:t>
      </w:r>
      <w:r>
        <w:rPr>
          <w:rFonts w:ascii="Times New Roman" w:eastAsia="方正仿宋_GBK" w:hAnsi="Times New Roman" w:cs="Times New Roman" w:hint="eastAsia"/>
          <w:sz w:val="32"/>
          <w:szCs w:val="32"/>
        </w:rPr>
        <w:t>，城市管理体制和执法体制需要进一步理顺；四是随着经济社会的快速发展，城市管理过程中出现的一些新现象、新情况，使得原有的管理手段已不能适应实际工作的需要。因此，为了适应玉溪的经济社会发展需求，迫切需要制定一部综合性的城市管理地方性法规，将实施成效显著的政策和制度、经验和做法提升到法规层面</w:t>
      </w:r>
      <w:r>
        <w:rPr>
          <w:rFonts w:ascii="Times New Roman" w:eastAsia="方正仿宋_GBK" w:hAnsi="Times New Roman" w:cs="Times New Roman" w:hint="eastAsia"/>
          <w:sz w:val="32"/>
          <w:szCs w:val="32"/>
        </w:rPr>
        <w:t>，实现城市管理体制深化改革与法治保障的有机统一，发挥立法对改革的引领和规范作用。</w:t>
      </w:r>
    </w:p>
    <w:p w14:paraId="013AC4C5" w14:textId="7360E35E" w:rsidR="00BA4025" w:rsidRDefault="004E7961">
      <w:pPr>
        <w:widowControl w:val="0"/>
        <w:spacing w:line="600" w:lineRule="exact"/>
        <w:ind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004F49EF">
        <w:rPr>
          <w:rFonts w:ascii="方正楷体_GBK" w:eastAsia="方正楷体_GBK" w:hAnsi="Times New Roman" w:cs="Times New Roman" w:hint="eastAsia"/>
          <w:sz w:val="32"/>
          <w:szCs w:val="32"/>
        </w:rPr>
        <w:t>二</w:t>
      </w:r>
      <w:r>
        <w:rPr>
          <w:rFonts w:ascii="方正楷体_GBK" w:eastAsia="方正楷体_GBK" w:hAnsi="Times New Roman" w:cs="Times New Roman" w:hint="eastAsia"/>
          <w:sz w:val="32"/>
          <w:szCs w:val="32"/>
        </w:rPr>
        <w:t>）</w:t>
      </w:r>
      <w:r w:rsidR="004F49EF">
        <w:rPr>
          <w:rFonts w:ascii="方正楷体_GBK" w:eastAsia="方正楷体_GBK" w:hAnsi="Times New Roman" w:cs="Times New Roman" w:hint="eastAsia"/>
          <w:sz w:val="32"/>
          <w:szCs w:val="32"/>
        </w:rPr>
        <w:t>立法的可行性</w:t>
      </w:r>
    </w:p>
    <w:p w14:paraId="0A431888" w14:textId="5AD5F864" w:rsidR="00BA4025" w:rsidRDefault="004E7961">
      <w:pPr>
        <w:widowControl w:val="0"/>
        <w:spacing w:line="600" w:lineRule="exact"/>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近年来，省内的昆明市和曲靖市，省外的芜湖市、汕尾市、白城市、长沙市等地相继出台或</w:t>
      </w:r>
      <w:r w:rsidR="00E21DA7">
        <w:rPr>
          <w:rFonts w:ascii="Times New Roman" w:eastAsia="方正仿宋_GBK" w:hAnsi="Times New Roman" w:cs="Times New Roman" w:hint="eastAsia"/>
          <w:sz w:val="32"/>
          <w:szCs w:val="32"/>
        </w:rPr>
        <w:t>者</w:t>
      </w:r>
      <w:r>
        <w:rPr>
          <w:rFonts w:ascii="Times New Roman" w:eastAsia="方正仿宋_GBK" w:hAnsi="Times New Roman" w:cs="Times New Roman" w:hint="eastAsia"/>
          <w:sz w:val="32"/>
          <w:szCs w:val="32"/>
        </w:rPr>
        <w:t>修订了城市管理条例。这些地方立法在提升城市管理水平、营造文明和谐、生态宜</w:t>
      </w:r>
      <w:r>
        <w:rPr>
          <w:rFonts w:ascii="Times New Roman" w:eastAsia="方正仿宋_GBK" w:hAnsi="Times New Roman" w:cs="Times New Roman" w:hint="eastAsia"/>
          <w:sz w:val="32"/>
          <w:szCs w:val="32"/>
        </w:rPr>
        <w:lastRenderedPageBreak/>
        <w:t>居、安全有序的城市环境，以及推进城市管理法治化进程方面，进行了有益探索，积累了宝贵经验，为我市制定《条例</w:t>
      </w:r>
      <w:r w:rsidR="00F504D8">
        <w:rPr>
          <w:rFonts w:ascii="Times New Roman" w:eastAsia="方正仿宋_GBK" w:hAnsi="Times New Roman" w:cs="Times New Roman" w:hint="eastAsia"/>
          <w:sz w:val="32"/>
          <w:szCs w:val="32"/>
        </w:rPr>
        <w:t>（草案）</w:t>
      </w:r>
      <w:r>
        <w:rPr>
          <w:rFonts w:ascii="Times New Roman" w:eastAsia="方正仿宋_GBK" w:hAnsi="Times New Roman" w:cs="Times New Roman" w:hint="eastAsia"/>
          <w:sz w:val="32"/>
          <w:szCs w:val="32"/>
        </w:rPr>
        <w:t>》提供了有益借鉴。</w:t>
      </w:r>
    </w:p>
    <w:p w14:paraId="5EB909F6" w14:textId="7C6FF495" w:rsidR="00BA4025" w:rsidRDefault="004E7961">
      <w:pPr>
        <w:widowControl w:val="0"/>
        <w:spacing w:line="600" w:lineRule="exact"/>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2025</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11</w:t>
      </w:r>
      <w:r>
        <w:rPr>
          <w:rFonts w:ascii="Times New Roman" w:eastAsia="方正仿宋_GBK" w:hAnsi="Times New Roman" w:cs="Times New Roman" w:hint="eastAsia"/>
          <w:sz w:val="32"/>
          <w:szCs w:val="32"/>
        </w:rPr>
        <w:t>日，玉溪市人民政府办公室印发《玉溪市城市管理条例立法工作方案》，成立</w:t>
      </w:r>
      <w:r>
        <w:rPr>
          <w:rFonts w:ascii="Times New Roman" w:eastAsia="方正仿宋_GBK" w:hAnsi="Times New Roman" w:cs="Times New Roman" w:hint="eastAsia"/>
          <w:sz w:val="32"/>
          <w:szCs w:val="32"/>
        </w:rPr>
        <w:t>立法工作机制，统筹推动、督促落实</w:t>
      </w:r>
      <w:r>
        <w:rPr>
          <w:rFonts w:ascii="Times New Roman" w:eastAsia="方正仿宋_GBK" w:hAnsi="Times New Roman" w:cs="Times New Roman" w:hint="eastAsia"/>
          <w:sz w:val="32"/>
          <w:szCs w:val="32"/>
        </w:rPr>
        <w:t>立法工作，研究决定立法过程中遇到的重大问题。立法工作机制下设起草工作组和审查工作组，分别负责</w:t>
      </w:r>
      <w:r>
        <w:rPr>
          <w:rFonts w:ascii="Times New Roman" w:eastAsia="方正仿宋_GBK" w:hAnsi="Times New Roman" w:cs="Times New Roman" w:hint="eastAsia"/>
          <w:sz w:val="32"/>
          <w:szCs w:val="32"/>
        </w:rPr>
        <w:t>起草、调研、听证、论证和审查工作。</w:t>
      </w:r>
    </w:p>
    <w:p w14:paraId="45864885" w14:textId="7DA0FBA1" w:rsidR="00BA4025" w:rsidRDefault="007C56EC">
      <w:pPr>
        <w:widowControl w:val="0"/>
        <w:ind w:firstLine="640"/>
        <w:rPr>
          <w:rFonts w:ascii="Times New Roman" w:eastAsia="方正仿宋_GBK" w:hAnsi="Times New Roman" w:cs="Times New Roman"/>
          <w:sz w:val="32"/>
          <w:szCs w:val="32"/>
        </w:rPr>
      </w:pPr>
      <w:r>
        <w:rPr>
          <w:rFonts w:ascii="方正黑体_GBK" w:eastAsia="方正黑体_GBK" w:hAnsi="Times New Roman" w:cs="Times New Roman" w:hint="eastAsia"/>
          <w:sz w:val="32"/>
          <w:szCs w:val="32"/>
        </w:rPr>
        <w:t>二</w:t>
      </w:r>
      <w:r w:rsidR="004E7961">
        <w:rPr>
          <w:rFonts w:ascii="方正黑体_GBK" w:eastAsia="方正黑体_GBK" w:hAnsi="Times New Roman" w:cs="Times New Roman" w:hint="eastAsia"/>
          <w:sz w:val="32"/>
          <w:szCs w:val="32"/>
        </w:rPr>
        <w:t>、</w:t>
      </w:r>
      <w:r w:rsidR="004F49EF">
        <w:rPr>
          <w:rFonts w:ascii="方正黑体_GBK" w:eastAsia="方正黑体_GBK" w:hAnsi="Times New Roman" w:cs="Times New Roman" w:hint="eastAsia"/>
          <w:sz w:val="32"/>
          <w:szCs w:val="32"/>
        </w:rPr>
        <w:t>编制</w:t>
      </w:r>
      <w:r w:rsidR="00E21DA7">
        <w:rPr>
          <w:rFonts w:ascii="方正黑体_GBK" w:eastAsia="方正黑体_GBK" w:hAnsi="Times New Roman" w:cs="Times New Roman" w:hint="eastAsia"/>
          <w:sz w:val="32"/>
          <w:szCs w:val="32"/>
        </w:rPr>
        <w:t>《条例（草案）》的过程</w:t>
      </w:r>
    </w:p>
    <w:p w14:paraId="75FECF45" w14:textId="7426F428" w:rsidR="00BA4025" w:rsidRDefault="004E7961" w:rsidP="00E21DA7">
      <w:pPr>
        <w:widowControl w:val="0"/>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《条例</w:t>
      </w:r>
      <w:r w:rsidR="00E21DA7">
        <w:rPr>
          <w:rFonts w:ascii="Times New Roman" w:eastAsia="方正仿宋_GBK" w:hAnsi="Times New Roman" w:cs="Times New Roman" w:hint="eastAsia"/>
          <w:sz w:val="32"/>
          <w:szCs w:val="32"/>
        </w:rPr>
        <w:t>（草案）</w:t>
      </w:r>
      <w:r>
        <w:rPr>
          <w:rFonts w:ascii="Times New Roman" w:eastAsia="方正仿宋_GBK" w:hAnsi="Times New Roman" w:cs="Times New Roman" w:hint="eastAsia"/>
          <w:sz w:val="32"/>
          <w:szCs w:val="32"/>
        </w:rPr>
        <w:t>》的起草工作自启动以来，始终坚持科学立法、民主立法、依法立法原则</w:t>
      </w:r>
      <w:r>
        <w:rPr>
          <w:rFonts w:ascii="方正楷体_GBK" w:eastAsia="方正楷体_GBK" w:hAnsi="Times New Roman" w:cs="Times New Roman" w:hint="eastAsia"/>
          <w:sz w:val="32"/>
          <w:szCs w:val="32"/>
        </w:rPr>
        <w:t>。</w:t>
      </w:r>
      <w:r w:rsidR="00E21DA7" w:rsidRPr="00E21DA7">
        <w:rPr>
          <w:rFonts w:ascii="Times New Roman" w:eastAsia="方正仿宋_GBK" w:hAnsi="Times New Roman" w:cs="Times New Roman" w:hint="eastAsia"/>
          <w:sz w:val="32"/>
          <w:szCs w:val="32"/>
        </w:rPr>
        <w:t>起草工作组系统梳理了国家、省相关法律法规并及时更新上级政策文件，深入多个县（市、区）开展实地调研，全面梳理我市城市管理工作中存在的突出问题，全面了解和评估了我市城市管理现状与短板。系统</w:t>
      </w:r>
      <w:proofErr w:type="gramStart"/>
      <w:r w:rsidR="00E21DA7" w:rsidRPr="00E21DA7">
        <w:rPr>
          <w:rFonts w:ascii="Times New Roman" w:eastAsia="方正仿宋_GBK" w:hAnsi="Times New Roman" w:cs="Times New Roman" w:hint="eastAsia"/>
          <w:sz w:val="32"/>
          <w:szCs w:val="32"/>
        </w:rPr>
        <w:t>研究省</w:t>
      </w:r>
      <w:proofErr w:type="gramEnd"/>
      <w:r w:rsidR="00E21DA7" w:rsidRPr="00E21DA7">
        <w:rPr>
          <w:rFonts w:ascii="Times New Roman" w:eastAsia="方正仿宋_GBK" w:hAnsi="Times New Roman" w:cs="Times New Roman" w:hint="eastAsia"/>
          <w:sz w:val="32"/>
          <w:szCs w:val="32"/>
        </w:rPr>
        <w:t>内外城市管理立法的有益经验，借鉴其成功经验和立法模式。在深入研究国家、省相关法律法规、总结本地实践经验、吸收外地先进做法的基础上，形成了《条例》草拟稿。此后，通过召开座谈会、书面征求意见、专题汇报等多种形式，广泛听取市人大相关专门委员会、上级主管部门、市直有关部门、县（市、区）职能部门意见。对收集到的意见建议进行逐条研究、充分吸纳，对《条例》草拟稿进行了反复研究修改。</w:t>
      </w:r>
    </w:p>
    <w:p w14:paraId="4B628E77" w14:textId="3A579F39" w:rsidR="00BA4025" w:rsidRDefault="007C56EC">
      <w:pPr>
        <w:widowControl w:val="0"/>
        <w:ind w:firstLine="640"/>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三</w:t>
      </w:r>
      <w:r w:rsidR="004E7961">
        <w:rPr>
          <w:rFonts w:ascii="方正黑体_GBK" w:eastAsia="方正黑体_GBK" w:hAnsi="Times New Roman" w:cs="Times New Roman" w:hint="eastAsia"/>
          <w:sz w:val="32"/>
          <w:szCs w:val="32"/>
        </w:rPr>
        <w:t>、《条例</w:t>
      </w:r>
      <w:r w:rsidR="00E21DA7">
        <w:rPr>
          <w:rFonts w:ascii="方正黑体_GBK" w:eastAsia="方正黑体_GBK" w:hAnsi="Times New Roman" w:cs="Times New Roman" w:hint="eastAsia"/>
          <w:sz w:val="32"/>
          <w:szCs w:val="32"/>
        </w:rPr>
        <w:t>（草案）</w:t>
      </w:r>
      <w:r w:rsidR="004E7961">
        <w:rPr>
          <w:rFonts w:ascii="方正黑体_GBK" w:eastAsia="方正黑体_GBK" w:hAnsi="Times New Roman" w:cs="Times New Roman" w:hint="eastAsia"/>
          <w:sz w:val="32"/>
          <w:szCs w:val="32"/>
        </w:rPr>
        <w:t>》的主要内容</w:t>
      </w:r>
    </w:p>
    <w:p w14:paraId="1F004393" w14:textId="465DD13C" w:rsidR="00BA4025" w:rsidRDefault="004E7961">
      <w:pPr>
        <w:widowControl w:val="0"/>
        <w:ind w:firstLine="640"/>
        <w:rPr>
          <w:rFonts w:ascii="方正仿宋_GBK" w:eastAsia="方正仿宋_GBK" w:hAnsi="Times New Roman" w:cs="Times New Roman"/>
          <w:sz w:val="32"/>
          <w:szCs w:val="32"/>
        </w:rPr>
      </w:pPr>
      <w:r>
        <w:rPr>
          <w:rFonts w:ascii="Times New Roman" w:eastAsia="方正仿宋_GBK" w:hAnsi="Times New Roman" w:cs="Times New Roman" w:hint="eastAsia"/>
          <w:sz w:val="32"/>
          <w:szCs w:val="32"/>
        </w:rPr>
        <w:t>《条例</w:t>
      </w:r>
      <w:r w:rsidR="00E21DA7">
        <w:rPr>
          <w:rFonts w:ascii="Times New Roman" w:eastAsia="方正仿宋_GBK" w:hAnsi="Times New Roman" w:cs="Times New Roman" w:hint="eastAsia"/>
          <w:sz w:val="32"/>
          <w:szCs w:val="32"/>
        </w:rPr>
        <w:t>（草案）</w:t>
      </w:r>
      <w:r>
        <w:rPr>
          <w:rFonts w:ascii="Times New Roman" w:eastAsia="方正仿宋_GBK" w:hAnsi="Times New Roman" w:cs="Times New Roman" w:hint="eastAsia"/>
          <w:sz w:val="32"/>
          <w:szCs w:val="32"/>
        </w:rPr>
        <w:t>》</w:t>
      </w:r>
      <w:r>
        <w:rPr>
          <w:rFonts w:ascii="方正仿宋_GBK" w:eastAsia="方正仿宋_GBK" w:hAnsi="Times New Roman" w:cs="Times New Roman" w:hint="eastAsia"/>
          <w:sz w:val="32"/>
          <w:szCs w:val="32"/>
        </w:rPr>
        <w:t>共分为五章五十</w:t>
      </w:r>
      <w:r w:rsidR="004F49EF">
        <w:rPr>
          <w:rFonts w:ascii="方正仿宋_GBK" w:eastAsia="方正仿宋_GBK" w:hAnsi="Times New Roman" w:cs="Times New Roman" w:hint="eastAsia"/>
          <w:sz w:val="32"/>
          <w:szCs w:val="32"/>
        </w:rPr>
        <w:t>四</w:t>
      </w:r>
      <w:r>
        <w:rPr>
          <w:rFonts w:ascii="方正仿宋_GBK" w:eastAsia="方正仿宋_GBK" w:hAnsi="Times New Roman" w:cs="Times New Roman" w:hint="eastAsia"/>
          <w:sz w:val="32"/>
          <w:szCs w:val="32"/>
        </w:rPr>
        <w:t>条，</w:t>
      </w:r>
      <w:r>
        <w:rPr>
          <w:rFonts w:ascii="方正仿宋_GBK" w:eastAsia="方正仿宋_GBK" w:hAnsi="Times New Roman" w:cs="Times New Roman" w:hint="eastAsia"/>
          <w:sz w:val="32"/>
          <w:szCs w:val="32"/>
        </w:rPr>
        <w:t>主要包含以下内</w:t>
      </w:r>
      <w:r>
        <w:rPr>
          <w:rFonts w:ascii="方正仿宋_GBK" w:eastAsia="方正仿宋_GBK" w:hAnsi="Times New Roman" w:cs="Times New Roman" w:hint="eastAsia"/>
          <w:sz w:val="32"/>
          <w:szCs w:val="32"/>
        </w:rPr>
        <w:lastRenderedPageBreak/>
        <w:t>容：</w:t>
      </w:r>
    </w:p>
    <w:p w14:paraId="2889B2B8" w14:textId="77777777" w:rsidR="00E21DA7" w:rsidRDefault="00E21DA7" w:rsidP="00E21DA7">
      <w:pPr>
        <w:widowControl w:val="0"/>
        <w:ind w:firstLine="643"/>
        <w:rPr>
          <w:rFonts w:ascii="方正仿宋_GBK" w:eastAsia="方正仿宋_GBK" w:hAnsi="Times New Roman" w:cs="Times New Roman"/>
          <w:sz w:val="32"/>
          <w:szCs w:val="32"/>
        </w:rPr>
      </w:pPr>
      <w:r>
        <w:rPr>
          <w:rFonts w:ascii="方正仿宋_GBK" w:eastAsia="方正仿宋_GBK" w:hAnsi="Times New Roman" w:cs="Times New Roman" w:hint="eastAsia"/>
          <w:b/>
          <w:bCs/>
          <w:sz w:val="32"/>
          <w:szCs w:val="32"/>
        </w:rPr>
        <w:t>一是总则部分（第一条至第八条）</w:t>
      </w:r>
      <w:r>
        <w:rPr>
          <w:rFonts w:ascii="方正仿宋_GBK" w:eastAsia="方正仿宋_GBK" w:hAnsi="Times New Roman" w:cs="Times New Roman" w:hint="eastAsia"/>
          <w:sz w:val="32"/>
          <w:szCs w:val="32"/>
        </w:rPr>
        <w:t>。明确立法目的、适用范围、基本原则。规定市、县（市、区）人民政府对城市管理工作的领导责任和有关部门按照职责做好城市管理相关工作，</w:t>
      </w:r>
      <w:proofErr w:type="gramStart"/>
      <w:r>
        <w:rPr>
          <w:rFonts w:ascii="方正仿宋_GBK" w:eastAsia="方正仿宋_GBK" w:hAnsi="Times New Roman" w:cs="Times New Roman" w:hint="eastAsia"/>
          <w:sz w:val="32"/>
          <w:szCs w:val="32"/>
        </w:rPr>
        <w:t>明确镇</w:t>
      </w:r>
      <w:proofErr w:type="gramEnd"/>
      <w:r>
        <w:rPr>
          <w:rFonts w:ascii="方正仿宋_GBK" w:eastAsia="方正仿宋_GBK" w:hAnsi="Times New Roman" w:cs="Times New Roman" w:hint="eastAsia"/>
          <w:sz w:val="32"/>
          <w:szCs w:val="32"/>
        </w:rPr>
        <w:t>人民政府、街道办事处根据职责组织落实辖区内城市管理工作、指导村（居）民委员会协助开展城市管理工作的要求，对智慧城管运行</w:t>
      </w:r>
      <w:proofErr w:type="gramStart"/>
      <w:r>
        <w:rPr>
          <w:rFonts w:ascii="方正仿宋_GBK" w:eastAsia="方正仿宋_GBK" w:hAnsi="Times New Roman" w:cs="Times New Roman" w:hint="eastAsia"/>
          <w:sz w:val="32"/>
          <w:szCs w:val="32"/>
        </w:rPr>
        <w:t>作出</w:t>
      </w:r>
      <w:proofErr w:type="gramEnd"/>
      <w:r>
        <w:rPr>
          <w:rFonts w:ascii="方正仿宋_GBK" w:eastAsia="方正仿宋_GBK" w:hAnsi="Times New Roman" w:cs="Times New Roman" w:hint="eastAsia"/>
          <w:sz w:val="32"/>
          <w:szCs w:val="32"/>
        </w:rPr>
        <w:t>规定。确立公众参与和监督机制。</w:t>
      </w:r>
    </w:p>
    <w:p w14:paraId="4599F99C" w14:textId="77777777" w:rsidR="00E21DA7" w:rsidRDefault="00E21DA7" w:rsidP="00E21DA7">
      <w:pPr>
        <w:widowControl w:val="0"/>
        <w:ind w:firstLine="643"/>
        <w:rPr>
          <w:rFonts w:ascii="方正仿宋_GBK" w:eastAsia="方正仿宋_GBK" w:hAnsi="Times New Roman" w:cs="Times New Roman"/>
          <w:sz w:val="32"/>
          <w:szCs w:val="32"/>
        </w:rPr>
      </w:pPr>
      <w:r>
        <w:rPr>
          <w:rFonts w:ascii="方正仿宋_GBK" w:eastAsia="方正仿宋_GBK" w:hAnsi="Times New Roman" w:cs="Times New Roman" w:hint="eastAsia"/>
          <w:b/>
          <w:bCs/>
          <w:sz w:val="32"/>
          <w:szCs w:val="32"/>
        </w:rPr>
        <w:t>二是城市管理规范章节（第九条至第四十三条）。</w:t>
      </w:r>
      <w:r>
        <w:rPr>
          <w:rFonts w:ascii="方正仿宋_GBK" w:eastAsia="方正仿宋_GBK" w:hAnsi="Times New Roman" w:cs="Times New Roman" w:hint="eastAsia"/>
          <w:sz w:val="32"/>
          <w:szCs w:val="32"/>
        </w:rPr>
        <w:t>本章对规划与建设管理、市政公用设施管理、</w:t>
      </w:r>
      <w:r w:rsidRPr="000104DA">
        <w:rPr>
          <w:rFonts w:ascii="方正仿宋_GBK" w:eastAsia="方正仿宋_GBK" w:hAnsi="Times New Roman" w:cs="Times New Roman" w:hint="eastAsia"/>
          <w:sz w:val="32"/>
          <w:szCs w:val="32"/>
        </w:rPr>
        <w:t>养犬管理</w:t>
      </w:r>
      <w:r>
        <w:rPr>
          <w:rFonts w:ascii="方正仿宋_GBK" w:eastAsia="方正仿宋_GBK" w:hAnsi="Times New Roman" w:cs="Times New Roman" w:hint="eastAsia"/>
          <w:sz w:val="32"/>
          <w:szCs w:val="32"/>
        </w:rPr>
        <w:t>、生态环境管理、交通与停车秩序管理等方面</w:t>
      </w:r>
      <w:proofErr w:type="gramStart"/>
      <w:r>
        <w:rPr>
          <w:rFonts w:ascii="方正仿宋_GBK" w:eastAsia="方正仿宋_GBK" w:hAnsi="Times New Roman" w:cs="Times New Roman" w:hint="eastAsia"/>
          <w:sz w:val="32"/>
          <w:szCs w:val="32"/>
        </w:rPr>
        <w:t>作出</w:t>
      </w:r>
      <w:proofErr w:type="gramEnd"/>
      <w:r>
        <w:rPr>
          <w:rFonts w:ascii="方正仿宋_GBK" w:eastAsia="方正仿宋_GBK" w:hAnsi="Times New Roman" w:cs="Times New Roman" w:hint="eastAsia"/>
          <w:sz w:val="32"/>
          <w:szCs w:val="32"/>
        </w:rPr>
        <w:t>了明确的规范。</w:t>
      </w:r>
    </w:p>
    <w:p w14:paraId="3F09BB6D" w14:textId="77777777" w:rsidR="00E21DA7" w:rsidRDefault="00E21DA7" w:rsidP="00E21DA7">
      <w:pPr>
        <w:widowControl w:val="0"/>
        <w:ind w:firstLine="643"/>
        <w:rPr>
          <w:rFonts w:ascii="方正仿宋_GBK" w:eastAsia="方正仿宋_GBK" w:hAnsi="Times New Roman" w:cs="Times New Roman"/>
          <w:sz w:val="32"/>
          <w:szCs w:val="32"/>
        </w:rPr>
      </w:pPr>
      <w:r>
        <w:rPr>
          <w:rFonts w:ascii="方正仿宋_GBK" w:eastAsia="方正仿宋_GBK" w:hAnsi="Times New Roman" w:cs="Times New Roman" w:hint="eastAsia"/>
          <w:b/>
          <w:bCs/>
          <w:sz w:val="32"/>
          <w:szCs w:val="32"/>
        </w:rPr>
        <w:t>三是城市管理行政执法章节（第四十四条至第四十六条）。</w:t>
      </w:r>
      <w:r w:rsidRPr="00BE3812">
        <w:rPr>
          <w:rFonts w:ascii="方正仿宋_GBK" w:eastAsia="方正仿宋_GBK" w:hAnsi="Times New Roman" w:cs="Times New Roman" w:hint="eastAsia"/>
          <w:sz w:val="32"/>
          <w:szCs w:val="32"/>
        </w:rPr>
        <w:t>对</w:t>
      </w:r>
      <w:r>
        <w:rPr>
          <w:rFonts w:ascii="方正仿宋_GBK" w:eastAsia="方正仿宋_GBK" w:hAnsi="Times New Roman" w:cs="Times New Roman" w:hint="eastAsia"/>
          <w:sz w:val="32"/>
          <w:szCs w:val="32"/>
        </w:rPr>
        <w:t>城市管理相关事项实行综合行政执法，建立执法协作、信息共享和执法移送机制，</w:t>
      </w:r>
      <w:r w:rsidRPr="00B83CA5">
        <w:rPr>
          <w:rFonts w:ascii="方正仿宋_GBK" w:eastAsia="方正仿宋_GBK" w:hAnsi="Times New Roman" w:cs="Times New Roman" w:hint="eastAsia"/>
          <w:sz w:val="32"/>
          <w:szCs w:val="32"/>
        </w:rPr>
        <w:t>赋予镇（街道）部分县级行政职权</w:t>
      </w:r>
      <w:proofErr w:type="gramStart"/>
      <w:r>
        <w:rPr>
          <w:rFonts w:ascii="方正仿宋_GBK" w:eastAsia="方正仿宋_GBK" w:hAnsi="Times New Roman" w:cs="Times New Roman" w:hint="eastAsia"/>
          <w:sz w:val="32"/>
          <w:szCs w:val="32"/>
        </w:rPr>
        <w:t>作出</w:t>
      </w:r>
      <w:proofErr w:type="gramEnd"/>
      <w:r>
        <w:rPr>
          <w:rFonts w:ascii="方正仿宋_GBK" w:eastAsia="方正仿宋_GBK" w:hAnsi="Times New Roman" w:cs="Times New Roman" w:hint="eastAsia"/>
          <w:sz w:val="32"/>
          <w:szCs w:val="32"/>
        </w:rPr>
        <w:t>规定</w:t>
      </w:r>
      <w:r w:rsidRPr="00B83CA5">
        <w:rPr>
          <w:rFonts w:ascii="方正仿宋_GBK" w:eastAsia="方正仿宋_GBK" w:hAnsi="Times New Roman" w:cs="Times New Roman" w:hint="eastAsia"/>
          <w:sz w:val="32"/>
          <w:szCs w:val="32"/>
        </w:rPr>
        <w:t>。</w:t>
      </w:r>
    </w:p>
    <w:p w14:paraId="736811B2" w14:textId="77777777" w:rsidR="00E21DA7" w:rsidRDefault="00E21DA7" w:rsidP="00E21DA7">
      <w:pPr>
        <w:widowControl w:val="0"/>
        <w:ind w:firstLine="643"/>
        <w:rPr>
          <w:rFonts w:ascii="Times New Roman" w:eastAsia="方正仿宋_GBK" w:hAnsi="Times New Roman" w:cs="Times New Roman"/>
          <w:sz w:val="32"/>
          <w:szCs w:val="32"/>
        </w:rPr>
      </w:pPr>
      <w:r>
        <w:rPr>
          <w:rFonts w:ascii="方正仿宋_GBK" w:eastAsia="方正仿宋_GBK" w:hAnsi="Times New Roman" w:cs="Times New Roman" w:hint="eastAsia"/>
          <w:b/>
          <w:bCs/>
          <w:sz w:val="32"/>
          <w:szCs w:val="32"/>
        </w:rPr>
        <w:t>四是法律责任章节（第四十七条至第五十三条）。</w:t>
      </w:r>
      <w:r>
        <w:rPr>
          <w:rFonts w:ascii="方正仿宋_GBK" w:eastAsia="方正仿宋_GBK" w:hAnsi="Times New Roman" w:cs="Times New Roman" w:hint="eastAsia"/>
          <w:sz w:val="32"/>
          <w:szCs w:val="32"/>
        </w:rPr>
        <w:t>对上位法已经</w:t>
      </w:r>
      <w:proofErr w:type="gramStart"/>
      <w:r>
        <w:rPr>
          <w:rFonts w:ascii="方正仿宋_GBK" w:eastAsia="方正仿宋_GBK" w:hAnsi="Times New Roman" w:cs="Times New Roman" w:hint="eastAsia"/>
          <w:sz w:val="32"/>
          <w:szCs w:val="32"/>
        </w:rPr>
        <w:t>作出</w:t>
      </w:r>
      <w:proofErr w:type="gramEnd"/>
      <w:r>
        <w:rPr>
          <w:rFonts w:ascii="方正仿宋_GBK" w:eastAsia="方正仿宋_GBK" w:hAnsi="Times New Roman" w:cs="Times New Roman" w:hint="eastAsia"/>
          <w:sz w:val="32"/>
          <w:szCs w:val="32"/>
        </w:rPr>
        <w:t>规定的，原则上不再重复设定；对上位法未作规定但本市管理实践中确有必要的，</w:t>
      </w:r>
      <w:r>
        <w:rPr>
          <w:rFonts w:ascii="Times New Roman" w:eastAsia="方正仿宋_GBK" w:hAnsi="Times New Roman" w:cs="Times New Roman" w:hint="eastAsia"/>
          <w:sz w:val="32"/>
          <w:szCs w:val="32"/>
        </w:rPr>
        <w:t>结合首违不罚、包容审慎和处罚与教育相关结合原则，</w:t>
      </w:r>
      <w:r>
        <w:rPr>
          <w:rFonts w:ascii="方正仿宋_GBK" w:eastAsia="方正仿宋_GBK" w:hAnsi="Times New Roman" w:cs="Times New Roman" w:hint="eastAsia"/>
          <w:sz w:val="32"/>
          <w:szCs w:val="32"/>
        </w:rPr>
        <w:t>主要采用警告、罚款等方式，并严格控制罚款额度和自由裁量空间。</w:t>
      </w:r>
    </w:p>
    <w:p w14:paraId="25FCC140" w14:textId="7A7BD657" w:rsidR="00BA4025" w:rsidRDefault="00E21DA7" w:rsidP="00E21DA7">
      <w:pPr>
        <w:widowControl w:val="0"/>
        <w:ind w:firstLine="643"/>
        <w:rPr>
          <w:rFonts w:ascii="方正仿宋_GBK" w:eastAsia="方正仿宋_GBK" w:hAnsi="Times New Roman" w:cs="Times New Roman"/>
          <w:b/>
          <w:bCs/>
          <w:sz w:val="32"/>
          <w:szCs w:val="32"/>
        </w:rPr>
      </w:pPr>
      <w:r>
        <w:rPr>
          <w:rFonts w:ascii="方正仿宋_GBK" w:eastAsia="方正仿宋_GBK" w:hAnsi="Times New Roman" w:cs="Times New Roman" w:hint="eastAsia"/>
          <w:b/>
          <w:bCs/>
          <w:sz w:val="32"/>
          <w:szCs w:val="32"/>
        </w:rPr>
        <w:t>五是明确《条例》的施行时间（第五十四条）。</w:t>
      </w:r>
    </w:p>
    <w:sectPr w:rsidR="00BA402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7118F" w14:textId="77777777" w:rsidR="004E7961" w:rsidRDefault="004E7961">
      <w:pPr>
        <w:spacing w:line="240" w:lineRule="auto"/>
        <w:ind w:firstLine="440"/>
        <w:rPr>
          <w:rFonts w:hint="eastAsia"/>
        </w:rPr>
      </w:pPr>
      <w:r>
        <w:separator/>
      </w:r>
    </w:p>
  </w:endnote>
  <w:endnote w:type="continuationSeparator" w:id="0">
    <w:p w14:paraId="50466AB4" w14:textId="77777777" w:rsidR="004E7961" w:rsidRDefault="004E7961">
      <w:pPr>
        <w:spacing w:line="240" w:lineRule="auto"/>
        <w:ind w:firstLine="44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5B1F" w14:textId="77777777" w:rsidR="00BA4025" w:rsidRDefault="00BA4025">
    <w:pPr>
      <w:pStyle w:val="a3"/>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190318"/>
    </w:sdtPr>
    <w:sdtEndPr>
      <w:rPr>
        <w:rFonts w:ascii="Times New Roman" w:hAnsi="Times New Roman" w:cs="Times New Roman"/>
      </w:rPr>
    </w:sdtEndPr>
    <w:sdtContent>
      <w:sdt>
        <w:sdtPr>
          <w:id w:val="1728636285"/>
        </w:sdtPr>
        <w:sdtEndPr>
          <w:rPr>
            <w:rFonts w:ascii="Times New Roman" w:hAnsi="Times New Roman" w:cs="Times New Roman"/>
          </w:rPr>
        </w:sdtEndPr>
        <w:sdtContent>
          <w:p w14:paraId="1D13CEE1" w14:textId="77777777" w:rsidR="00BA4025" w:rsidRDefault="004E7961">
            <w:pPr>
              <w:pStyle w:val="a3"/>
              <w:ind w:firstLine="360"/>
              <w:jc w:val="center"/>
              <w:rPr>
                <w:rFonts w:ascii="Times New Roman" w:hAnsi="Times New Roman" w:cs="Times New Roman"/>
              </w:rPr>
            </w:pPr>
            <w:r>
              <w:rPr>
                <w:rFonts w:ascii="Times New Roman" w:hAnsi="Times New Roman" w:cs="Times New Roman"/>
                <w:sz w:val="24"/>
                <w:szCs w:val="24"/>
              </w:rPr>
              <w:fldChar w:fldCharType="begin"/>
            </w:r>
            <w:r>
              <w:rPr>
                <w:rFonts w:ascii="Times New Roman" w:hAnsi="Times New Roman" w:cs="Times New Roman"/>
              </w:rPr>
              <w:instrText>PAGE</w:instrText>
            </w:r>
            <w:r>
              <w:rPr>
                <w:rFonts w:ascii="Times New Roman" w:hAnsi="Times New Roman" w:cs="Times New Roman"/>
                <w:sz w:val="24"/>
                <w:szCs w:val="24"/>
              </w:rPr>
              <w:fldChar w:fldCharType="separate"/>
            </w:r>
            <w:r>
              <w:rPr>
                <w:rFonts w:ascii="Times New Roman" w:hAnsi="Times New Roman" w:cs="Times New Roman"/>
                <w:lang w:val="zh-CN"/>
              </w:rPr>
              <w:t>2</w:t>
            </w:r>
            <w:r>
              <w:rPr>
                <w:rFonts w:ascii="Times New Roman" w:hAnsi="Times New Roman" w:cs="Times New Roman"/>
                <w:sz w:val="24"/>
                <w:szCs w:val="24"/>
              </w:rPr>
              <w:fldChar w:fldCharType="end"/>
            </w:r>
            <w:r>
              <w:rPr>
                <w:rFonts w:ascii="Times New Roman" w:hAnsi="Times New Roman" w:cs="Times New Roman"/>
                <w:lang w:val="zh-CN"/>
              </w:rPr>
              <w:t xml:space="preserve"> / </w:t>
            </w:r>
            <w:r>
              <w:rPr>
                <w:rFonts w:ascii="Times New Roman" w:hAnsi="Times New Roman" w:cs="Times New Roman"/>
                <w:sz w:val="24"/>
                <w:szCs w:val="24"/>
              </w:rPr>
              <w:fldChar w:fldCharType="begin"/>
            </w:r>
            <w:r>
              <w:rPr>
                <w:rFonts w:ascii="Times New Roman" w:hAnsi="Times New Roman" w:cs="Times New Roman"/>
              </w:rPr>
              <w:instrText>NUMPAGES</w:instrText>
            </w:r>
            <w:r>
              <w:rPr>
                <w:rFonts w:ascii="Times New Roman" w:hAnsi="Times New Roman" w:cs="Times New Roman"/>
                <w:sz w:val="24"/>
                <w:szCs w:val="24"/>
              </w:rPr>
              <w:fldChar w:fldCharType="separate"/>
            </w:r>
            <w:r>
              <w:rPr>
                <w:rFonts w:ascii="Times New Roman" w:hAnsi="Times New Roman" w:cs="Times New Roman"/>
                <w:lang w:val="zh-CN"/>
              </w:rPr>
              <w:t>2</w:t>
            </w:r>
            <w:r>
              <w:rPr>
                <w:rFonts w:ascii="Times New Roman" w:hAnsi="Times New Roman" w:cs="Times New Roman"/>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FB4D4" w14:textId="77777777" w:rsidR="00BA4025" w:rsidRDefault="00BA4025">
    <w:pPr>
      <w:pStyle w:val="a3"/>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5315F" w14:textId="77777777" w:rsidR="004E7961" w:rsidRDefault="004E7961">
      <w:pPr>
        <w:spacing w:line="240" w:lineRule="auto"/>
        <w:ind w:firstLine="440"/>
        <w:rPr>
          <w:rFonts w:hint="eastAsia"/>
        </w:rPr>
      </w:pPr>
      <w:r>
        <w:separator/>
      </w:r>
    </w:p>
  </w:footnote>
  <w:footnote w:type="continuationSeparator" w:id="0">
    <w:p w14:paraId="6B66E37B" w14:textId="77777777" w:rsidR="004E7961" w:rsidRDefault="004E7961">
      <w:pPr>
        <w:spacing w:line="240" w:lineRule="auto"/>
        <w:ind w:firstLine="44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4547" w14:textId="77777777" w:rsidR="00BA4025" w:rsidRDefault="00BA4025">
    <w:pPr>
      <w:pStyle w:val="a5"/>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11E7" w14:textId="77777777" w:rsidR="00BA4025" w:rsidRDefault="00BA4025">
    <w:pPr>
      <w:pStyle w:val="a5"/>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4C58B" w14:textId="77777777" w:rsidR="00BA4025" w:rsidRDefault="00BA4025">
    <w:pPr>
      <w:pStyle w:val="a5"/>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263"/>
    <w:rsid w:val="00000395"/>
    <w:rsid w:val="000104DA"/>
    <w:rsid w:val="000716E2"/>
    <w:rsid w:val="00117A92"/>
    <w:rsid w:val="00122889"/>
    <w:rsid w:val="00137041"/>
    <w:rsid w:val="0017332C"/>
    <w:rsid w:val="00185FCB"/>
    <w:rsid w:val="001B7070"/>
    <w:rsid w:val="001E05F6"/>
    <w:rsid w:val="001F4470"/>
    <w:rsid w:val="002104E0"/>
    <w:rsid w:val="00240751"/>
    <w:rsid w:val="0027324C"/>
    <w:rsid w:val="002751EC"/>
    <w:rsid w:val="0027736E"/>
    <w:rsid w:val="002A11AC"/>
    <w:rsid w:val="002A72D7"/>
    <w:rsid w:val="002D2880"/>
    <w:rsid w:val="002E31BC"/>
    <w:rsid w:val="003458B2"/>
    <w:rsid w:val="00405B25"/>
    <w:rsid w:val="00407AA8"/>
    <w:rsid w:val="00437460"/>
    <w:rsid w:val="0047774F"/>
    <w:rsid w:val="00494384"/>
    <w:rsid w:val="004D5B4A"/>
    <w:rsid w:val="004E7961"/>
    <w:rsid w:val="004F49EF"/>
    <w:rsid w:val="004F7F7F"/>
    <w:rsid w:val="00521DAC"/>
    <w:rsid w:val="00580156"/>
    <w:rsid w:val="00585FC9"/>
    <w:rsid w:val="005A5369"/>
    <w:rsid w:val="005D7230"/>
    <w:rsid w:val="00604F37"/>
    <w:rsid w:val="00641D82"/>
    <w:rsid w:val="00675F1F"/>
    <w:rsid w:val="006942BA"/>
    <w:rsid w:val="006D1F02"/>
    <w:rsid w:val="00742A2A"/>
    <w:rsid w:val="0074431D"/>
    <w:rsid w:val="007C5673"/>
    <w:rsid w:val="007C56EC"/>
    <w:rsid w:val="007C6A85"/>
    <w:rsid w:val="00822036"/>
    <w:rsid w:val="00882D83"/>
    <w:rsid w:val="008A03CB"/>
    <w:rsid w:val="00911979"/>
    <w:rsid w:val="00964D7A"/>
    <w:rsid w:val="0097325C"/>
    <w:rsid w:val="00A227BB"/>
    <w:rsid w:val="00A51150"/>
    <w:rsid w:val="00AA6174"/>
    <w:rsid w:val="00AB6BDB"/>
    <w:rsid w:val="00AB7A80"/>
    <w:rsid w:val="00AC1C44"/>
    <w:rsid w:val="00AD65A6"/>
    <w:rsid w:val="00B24BA9"/>
    <w:rsid w:val="00B31F0C"/>
    <w:rsid w:val="00B56F43"/>
    <w:rsid w:val="00B66D70"/>
    <w:rsid w:val="00B83CA5"/>
    <w:rsid w:val="00B85263"/>
    <w:rsid w:val="00BA4025"/>
    <w:rsid w:val="00BB61CC"/>
    <w:rsid w:val="00BE603E"/>
    <w:rsid w:val="00BE77CB"/>
    <w:rsid w:val="00BF341D"/>
    <w:rsid w:val="00C2024F"/>
    <w:rsid w:val="00C84E03"/>
    <w:rsid w:val="00CC463A"/>
    <w:rsid w:val="00CE25EB"/>
    <w:rsid w:val="00CF12BC"/>
    <w:rsid w:val="00D02BEF"/>
    <w:rsid w:val="00D10073"/>
    <w:rsid w:val="00D1176C"/>
    <w:rsid w:val="00D40E6E"/>
    <w:rsid w:val="00D4322E"/>
    <w:rsid w:val="00D61103"/>
    <w:rsid w:val="00D63ADD"/>
    <w:rsid w:val="00DE5141"/>
    <w:rsid w:val="00DE73A3"/>
    <w:rsid w:val="00E13E16"/>
    <w:rsid w:val="00E21DA7"/>
    <w:rsid w:val="00E34295"/>
    <w:rsid w:val="00E55854"/>
    <w:rsid w:val="00E61413"/>
    <w:rsid w:val="00E84132"/>
    <w:rsid w:val="00EF48D4"/>
    <w:rsid w:val="00F32CCA"/>
    <w:rsid w:val="00F504D8"/>
    <w:rsid w:val="00F543D1"/>
    <w:rsid w:val="00F7196A"/>
    <w:rsid w:val="00F84CA3"/>
    <w:rsid w:val="00FD1CB5"/>
    <w:rsid w:val="1DDA3950"/>
    <w:rsid w:val="6B7900F9"/>
    <w:rsid w:val="73121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F7A6B1"/>
  <w15:docId w15:val="{C6E44BD3-2E80-4C47-BFDE-C22F9EF7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560" w:lineRule="exact"/>
      <w:ind w:firstLineChars="200" w:firstLine="200"/>
      <w:jc w:val="both"/>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spacing w:line="240" w:lineRule="atLeast"/>
      <w:jc w:val="left"/>
    </w:pPr>
    <w:rPr>
      <w:sz w:val="18"/>
      <w:szCs w:val="18"/>
    </w:rPr>
  </w:style>
  <w:style w:type="paragraph" w:styleId="a5">
    <w:name w:val="header"/>
    <w:basedOn w:val="a"/>
    <w:link w:val="a6"/>
    <w:uiPriority w:val="99"/>
    <w:unhideWhenUsed/>
    <w:pPr>
      <w:tabs>
        <w:tab w:val="center" w:pos="4153"/>
        <w:tab w:val="right" w:pos="8306"/>
      </w:tabs>
      <w:snapToGrid w:val="0"/>
      <w:spacing w:line="240" w:lineRule="atLeast"/>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e">
    <w:name w:val="Intense Quote"/>
    <w:basedOn w:val="a"/>
    <w:next w:val="a"/>
    <w:link w:val="af"/>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明显引用 字符"/>
    <w:basedOn w:val="a0"/>
    <w:link w:val="ae"/>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gao 高</dc:creator>
  <cp:lastModifiedBy>小秋</cp:lastModifiedBy>
  <cp:revision>5</cp:revision>
  <cp:lastPrinted>2026-02-26T13:26:00Z</cp:lastPrinted>
  <dcterms:created xsi:type="dcterms:W3CDTF">2026-03-27T03:28:00Z</dcterms:created>
  <dcterms:modified xsi:type="dcterms:W3CDTF">2026-03-27T08:10:00Z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FBAD33D114E748F5AFEE2CAC6CF0ABB3_12</vt:lpwstr>
  </property>
</Properties>
</file>